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8E97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</w:p>
    <w:p w14:paraId="50890754" w14:textId="77777777" w:rsidR="00207C3C" w:rsidRPr="00082A76" w:rsidRDefault="00207C3C" w:rsidP="007759DC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</w:p>
    <w:p w14:paraId="33EAFE81" w14:textId="745E9B56" w:rsidR="007759DC" w:rsidRPr="00082A76" w:rsidRDefault="00924DD7" w:rsidP="007759DC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  <w:r w:rsidRPr="00082A76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>K/</w:t>
      </w:r>
      <w:r w:rsidR="007759DC" w:rsidRPr="00082A76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>1.számú melléklet</w:t>
      </w:r>
      <w:r w:rsidRPr="00082A76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 xml:space="preserve"> - Kameraszabályzathoz</w:t>
      </w:r>
    </w:p>
    <w:p w14:paraId="59325E4C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</w:p>
    <w:p w14:paraId="7C5875BA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082A76">
        <w:rPr>
          <w:rFonts w:eastAsia="Times New Roman" w:cs="Times New Roman"/>
          <w:sz w:val="22"/>
          <w:szCs w:val="22"/>
          <w:lang w:eastAsia="hu-HU"/>
        </w:rPr>
        <w:t xml:space="preserve">A személyes adatok kezelésével kapcsolatosan leggyakrabban előforduló alapfogalmak és jelentésük: </w:t>
      </w:r>
    </w:p>
    <w:p w14:paraId="68A964E4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459076A3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Személyes adat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: azonosított vagy azonosítható természetes személyre ("érintett") vonatkozó bármely információ. Azonosítható az a természetes személy, aki közvetlen, vagy közvetett módon, különösen valamely azonosító, például név, szám, helymeghatározó adat, online azonosító vagy </w:t>
      </w:r>
      <w:proofErr w:type="gramStart"/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a természetes személy testi, fiziológiai, genetikai, szellemi, gazdasági, kulturális vagy szociális azonosságára vonatkozó egy</w:t>
      </w:r>
      <w:proofErr w:type="gramEnd"/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vagy több tényező alapján azonosítható. </w:t>
      </w:r>
    </w:p>
    <w:p w14:paraId="52243610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523ADE66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Adatkezelés: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a személyes adatokon vagy adatállományokon automatizált vagy nem automatizált módon végzett bármely művelet vagy műveletek összessége, így a gyűjtés, rögzítés, rendszerezés, tagolás, tárolás, átalakítás vagy megváltoztatás, lekérdezés, betekintés, felhasználás, közlés továbbítás, terjesztés vagy egyéb módon történő hozzáférhetővé tétel útján, összehangolás vagy összekapcsolás, korlátozás, törlés, illetve megsemmisítés.</w:t>
      </w:r>
    </w:p>
    <w:p w14:paraId="3772E00C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cs="Times New Roman"/>
          <w:sz w:val="22"/>
          <w:szCs w:val="22"/>
        </w:rPr>
        <w:t>A fentiek alapján egy ember arca, képmása személyes adatnak minősül, a képfelvételek készítése, valamint az adatokon elhelyezett bármely művelet adatkezelésnek minősül.</w:t>
      </w:r>
    </w:p>
    <w:p w14:paraId="4D0A02E7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141E29E4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Adatkezelő: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az a természetes vagy jogi személy, közhatalmi szerv, ügynökség vagy bármely egyéb szerv, amely a személyes adatok kezelésének céljait és eszközeit önállóan vagy másokkal együtt meghatározza; ha az adatkezelés céljait és eszközeit az uniós vagy a tagállami jog határozza meg, az adatkezelőt vagy az adatkezelő kijelölésére vonatkozó különös szempontokat az uniós vagy a tagállami jog is meghatározhatja.</w:t>
      </w:r>
    </w:p>
    <w:p w14:paraId="6439DEBA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1B2269AD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Adatfeldolgozó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a természetes vagy jogi személy, közhatalmi szerv, ügynökség vagy bármely egyéb szerv, amely az adatkezelő nevében személyes adatokat kezel.</w:t>
      </w:r>
    </w:p>
    <w:p w14:paraId="123CDF1A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4447A656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Címzett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a természetes vagy jogi személy, közhatalmi szerv, ügynökség vagy bármely egyéb szerv, akivel vagy amellyel a személyes adatot közlik, függetlenül attól, hogy harmadik fél-e. Azon közhatalmi szervek, amelyek egy egyedi vizsgálat keretében az uniós vagy a tagállami joggal összhangban férhetnek hozzá személyes adatokhoz, nem minősülnek címzettnek; az említett adatok e közhatalmi szervek általi kezelése meg kell, hogy feleljen az adatkezelés céljainak megfelelően az alkalmazandó adatvédelmi szabályoknak.</w:t>
      </w:r>
    </w:p>
    <w:p w14:paraId="0BC50C6F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217AB3FA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Harmadik fél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a természetes vagy jogi személy, közhatalmi szerv, ügynökség vagy bármely egyéb szerv, amely nem azonos az érintettel, az adatkezelővel, az adatfeldolgozóval vagy azokkal a személyekkel, akik az adatkezelő vagy adatfeldolgozó közvetlen irányítása alatt a személyes adatok kezelésére felhatalmazást kaptak.</w:t>
      </w:r>
    </w:p>
    <w:p w14:paraId="7B573364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5B5B7EA9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Az érintett hozzájárulása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érintett akaratának önkéntes, konkrét és megfelelő tájékoztatáson alapuló és egyértelmű kinyilvánítása, amellyel az érintett nyilatkozat vagy a megerősítést félreérthetetlenül kifejező cselekedet útján jelzi, hogy beleegyezését adja az őt érintő személyes adatok kezeléséhez.</w:t>
      </w:r>
    </w:p>
    <w:p w14:paraId="6016F2A2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6B671780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proofErr w:type="spellStart"/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Biometrikus</w:t>
      </w:r>
      <w:proofErr w:type="spellEnd"/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 xml:space="preserve"> adat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egy természetes személy testi, fiziológiai vagy viselkedési jellemzőire vonatkozó minden olyan sajátos technikai eljárásokkal nyert személyes adat, amely lehetővé teszi vagy megerősíti a természetes személy egyedi azonosítását, ilyen például az arckép vagy a daktiloszkópiai adat.</w:t>
      </w:r>
    </w:p>
    <w:p w14:paraId="6CFD83DB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54B85A39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lastRenderedPageBreak/>
        <w:t>Az adatkezelés korlátozása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 tárolt személyes adatok megjelölése jövőbeli kezelésük korlátozása céljából.</w:t>
      </w:r>
    </w:p>
    <w:p w14:paraId="3F6A2BAD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671A660F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Nyilvántartási rendszer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 személyes adatok bármely módon - centralizált, decentralizált vagy funkcionális vagy földrajzi szempontok szerint - tagolt állománya, amely meghatározott ismérvek alapján hozzáférhető.</w:t>
      </w:r>
    </w:p>
    <w:p w14:paraId="7ACA41F6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3C516584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bookmarkStart w:id="0" w:name="_Hlk38621514"/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Adatvédelmi incidens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 biztonság olyan sérülése, amely a továbbított, tárolt vagy más módon kezelt személyes adatok véletlen vagy jogellenes megsemmisítését, elvesztését, megváltoztatását, jogosulatlan közlését vagy az azokhoz való jogosulatlan hozzáférést eredményezi.</w:t>
      </w:r>
    </w:p>
    <w:p w14:paraId="19B04934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1AF517F9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Az adatkezelés korlátozása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 tárolt személyes adatok megjelölése jövőbeli kezelésük korlátozása céljából.</w:t>
      </w:r>
    </w:p>
    <w:p w14:paraId="47A57B41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3276579D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 xml:space="preserve">Adatfelelős: 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az a közfeladatot ellátó szerv, amely – ha az adatfelelős nem maga teszi közzé az adatot az adatfelelős által hozzá eljuttatott adatot honlapon közzéteszi.</w:t>
      </w:r>
    </w:p>
    <w:p w14:paraId="010BE433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403E3AEA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Adatállomány: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az egy nyilvántartásban kezelt adatok összessége.</w:t>
      </w:r>
    </w:p>
    <w:p w14:paraId="2E66FA4D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3F9D325E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Adattovábbítás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adat meghatározott harmadik személy számára történő hozzáférhetővé tétele</w:t>
      </w:r>
    </w:p>
    <w:p w14:paraId="0CA20430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3E875637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Adattörlés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adat felismerhetetlenné tétele olya módon, hogy a helyreállítása többé nem lehetséges.</w:t>
      </w:r>
    </w:p>
    <w:p w14:paraId="69035F55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416D3A89" w14:textId="77777777" w:rsidR="007759DC" w:rsidRPr="00082A76" w:rsidRDefault="007759DC" w:rsidP="007759DC">
      <w:pPr>
        <w:pStyle w:val="NormlWeb"/>
        <w:spacing w:before="0" w:after="0"/>
        <w:jc w:val="both"/>
        <w:rPr>
          <w:kern w:val="0"/>
          <w:sz w:val="22"/>
          <w:szCs w:val="22"/>
          <w:lang w:eastAsia="hu-HU"/>
        </w:rPr>
      </w:pPr>
      <w:r w:rsidRPr="00082A76">
        <w:rPr>
          <w:b/>
          <w:bCs/>
          <w:kern w:val="0"/>
          <w:sz w:val="22"/>
          <w:szCs w:val="22"/>
          <w:lang w:eastAsia="hu-HU"/>
        </w:rPr>
        <w:t xml:space="preserve">Elektronikai vagyonvédelmi rendszer: </w:t>
      </w:r>
      <w:r w:rsidRPr="00082A76">
        <w:rPr>
          <w:kern w:val="0"/>
          <w:sz w:val="22"/>
          <w:szCs w:val="22"/>
          <w:lang w:eastAsia="hu-HU"/>
        </w:rPr>
        <w:t>vagyonvédelmi célból a vállalkozási szerződésben megjelölt ingatlanon telepítendő vagy telepített elektronikus jelző és képi megfigyelőrendszer, ideértve a térfelügyeleti rendszert, az elektronikus beléptető rendszert, a betörésjelző rendszert, a távfelügyeleti rendszert, az adat- és informatikai védelemre irányuló biztonságtechnikai rendszert, továbbá az egyéb, jel és kép továbbítását vagy fény, illetve hang jelzését is lehetővé tevő elektronikus műszaki megoldást.</w:t>
      </w:r>
    </w:p>
    <w:p w14:paraId="166B80E0" w14:textId="77777777" w:rsidR="007759DC" w:rsidRPr="00082A76" w:rsidRDefault="007759DC" w:rsidP="007759DC">
      <w:pPr>
        <w:pStyle w:val="NormlWeb"/>
        <w:spacing w:before="0" w:after="0"/>
        <w:jc w:val="both"/>
        <w:rPr>
          <w:kern w:val="0"/>
          <w:sz w:val="22"/>
          <w:szCs w:val="22"/>
          <w:lang w:eastAsia="hu-HU"/>
        </w:rPr>
      </w:pPr>
    </w:p>
    <w:p w14:paraId="353BC274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Elektronikai vagyonvédelmi rendszert tervező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a természetes személy, aki - tevékenységéből eredően - ismeretekkel rendelkezik az elektronikai vagyonvédelmi rendszer működéséről, és az ilyen rendszer (eszköz, berendezés) tervezését személyesen végzi, vagy azt - szakmailag - közvetlenül szervezi, irányítja.</w:t>
      </w:r>
    </w:p>
    <w:p w14:paraId="509FB501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19EFD18A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Elektronikai vagyonvédelmi rendszert szerelő: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az a természetes személy, aki - tevékenységéből eredően - ismeretekkel rendelkezik az elektronikai vagyonvédelmi rendszer működéséről, és az ilyen rendszer (eszköz, berendezés) telepítését, szerelését, üzemeltetését, felügyeletét, karbantartását, a hiba elhárítását személyesen végzi vagy azt - szakmailag - közvetlenül szervezi, irányítja.</w:t>
      </w:r>
    </w:p>
    <w:p w14:paraId="20465D5F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4678CEDE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Közterület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 közhasználatra szolgáló olyan állami vagy önkormányzati tulajdonban álló terület, amelyet rendeltetésének megfelelően mindenki korlátozás nélkül igénybe vehet, ideértve a közterületnek közútként szolgáló részét is.</w:t>
      </w:r>
    </w:p>
    <w:p w14:paraId="23A4EDD2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09445C98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Magánterület közönség számára nyilvános része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olyan magánterület, amely mindenki számára korlátozás nélkül igénybe vehető, ideértve a közterület azon részét is, amelynek birtokába a személy- és vagyonvédelmi tevékenység folytatására megbízó valamely polgári jogi jogügylet, különösen bérleti vagy haszonbérleti jogviszony keretében jut, feltéve, ha</w:t>
      </w:r>
    </w:p>
    <w:p w14:paraId="1EA0FBC0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a)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a területrész igénybevétele, használata a személy- és vagyonvédelmi tevékenységet folytató által őrzött magánterület nyilvános részén folyó tevékenységhez szervesen kapcsolódik, annak folyamatosságát, segítését szolgálja, vagy</w:t>
      </w:r>
    </w:p>
    <w:p w14:paraId="20E6C7FF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lastRenderedPageBreak/>
        <w:t>b)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a megbízó (megrendelő), avagy a magánterület nyilvános részét igénybe vevő közönség ingóságainak elhelyezésére szolgál.</w:t>
      </w:r>
    </w:p>
    <w:p w14:paraId="509353E8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Nyilvános hely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olyan épület, építmény vagy a közterületnek sportrendezvény megtartása céljából lezárt része, ahová a sportrendezvény szervezője által meghatározott feltételek mellett bárki bemehet vagy ott tartózkodhat.</w:t>
      </w:r>
    </w:p>
    <w:p w14:paraId="3F06D60E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044EAAB6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Sportakadémia: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a sportakadémiai minősítés megszerzéséről és a sportakadémia működéséről szóló kormányrendeletben meghatározott feltételeknek megfelelő és az erre vonatkozó igazolással rendelkező, olimpiai sportágban működő olyan sportszervezet, amely sportág-specifikus, kiemelkedően magas színvonalú utánpótlás-nevelési, képzési, sporttudományos, sportegészségügyi, infrastrukturális és sportmenedzsment feltételek és szolgáltatások biztosításával gondoskodik a tehetség-kiválasztásról, -gondozásról és -</w:t>
      </w:r>
      <w:bookmarkEnd w:id="0"/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fejlesztésről, a versenyzők magas szintű sportszakmai felkészítéséről, versenyeztetéséről, továbbá szervezi a sportolók sporttevékenységgel összefüggő és tanulmányi kötelezettségeinek teljesítését segítő körülmények megteremtését. A sportakadémia állami sportcélú támogatásban részesíthető.</w:t>
      </w:r>
    </w:p>
    <w:p w14:paraId="58F7B081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313B1B08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Sportiskola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a köznevelési intézmény, jogi személy nonprofit gazdasági társaság, sportegyesület, sportvállalkozás, vagy utánpótlás-nevelés fejlesztését végző alapítvány, amely az alábbiak szerint utánpótlás-nevelési feladatokat lát el vagy közreműködik azok ellátásában.</w:t>
      </w:r>
    </w:p>
    <w:p w14:paraId="4388D766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73BC478E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Köznevelési típusú sportiskola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a köznevelésről szóló törvény hatálya alá tartozó, évfolyamos vagy korcsoportos sportági képzést biztosító köznevelési intézmény, amely a helyi pedagógiai programját - az országos sportági szakszövetség, illetve országos sportági szövetség vagy fogyatékosok országos sportszövetségének szakmai javaslata alapján, az országos sportági szakszövetség, az országos sportági szövetség, vagy a fogyatékosok országos sportszövetsége és a köznevelési típusú sportiskola közötti együttműködési megállapodásban foglaltakra is figyelemmel - sportiskolai kerettanterv alapján készíti el, és biztosítja a testnevelés tantárgy emelt szintű oktatását, valamint a helyi pedagógiai programja összeállítása során figyelemmel van a sportolók felkészítési és versenyeztetési tevékenységére, továbbá a sportági programok megvalósításával kapcsolatos felkészítéssel és versenyeztetéssel összefüggő feladatait jogi személy nonprofit gazdasági társasággal, sportegyesülettel, sportvállalkozással vagy utánpótlás-nevelés fejlesztését végző alapítvánnyal fennálló együttműködési megállapodás alapján végzi.</w:t>
      </w:r>
    </w:p>
    <w:p w14:paraId="19121B2F" w14:textId="77777777" w:rsidR="007759DC" w:rsidRPr="00082A76" w:rsidRDefault="007759DC" w:rsidP="007759DC">
      <w:pPr>
        <w:widowControl/>
        <w:suppressAutoHyphens w:val="0"/>
        <w:autoSpaceDN/>
        <w:contextualSpacing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66A992A5" w14:textId="77777777" w:rsidR="007759DC" w:rsidRPr="00082A76" w:rsidRDefault="007759DC" w:rsidP="007759DC">
      <w:pPr>
        <w:widowControl/>
        <w:suppressAutoHyphens w:val="0"/>
        <w:autoSpaceDN/>
        <w:contextualSpacing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Egyesületi jellegű sportiskola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a korcsoportos sportági képzést biztosító jogi személy nonprofit gazdasági társaság, sportegyesület, sportvállalkozás, vagy utánpótlás-nevelés fejlesztését végző alapítvány (utánpótlás akadémia), amely köznevelési intézménnyel, a sportköztestülettel, országos sportági szakszövetséggel, országos sportági szövetséggel, vagy fogyatékosok országos sportszövetségével kötött együttműködési megállapodás alapján vesz részt az utánpótlás-nevelési feladatok ellátásban, sportolók magas szintű felkészítésében és versenyeztetésében, vagy közreműködik az utánpótlás-nevelési feladat-ellátás feltételeinek biztosításában.</w:t>
      </w:r>
    </w:p>
    <w:p w14:paraId="126BA31A" w14:textId="77777777" w:rsidR="007759DC" w:rsidRPr="00082A76" w:rsidRDefault="007759DC" w:rsidP="007759DC">
      <w:pPr>
        <w:widowControl/>
        <w:suppressAutoHyphens w:val="0"/>
        <w:autoSpaceDN/>
        <w:contextualSpacing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465CEA25" w14:textId="77777777" w:rsidR="007759DC" w:rsidRPr="00082A76" w:rsidRDefault="007759DC" w:rsidP="007759DC">
      <w:pPr>
        <w:widowControl/>
        <w:suppressAutoHyphens w:val="0"/>
        <w:autoSpaceDN/>
        <w:contextualSpacing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 xml:space="preserve">Sportrendezvény helyszíne: 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az a nyilvános hely vagy a közterület meghatározott része, ahol a sportrendezvényt megtartják és ahol néző tartózkodhat.</w:t>
      </w:r>
    </w:p>
    <w:p w14:paraId="758F7524" w14:textId="77777777" w:rsidR="007759DC" w:rsidRPr="00082A76" w:rsidRDefault="007759DC" w:rsidP="007759DC">
      <w:pPr>
        <w:widowControl/>
        <w:suppressAutoHyphens w:val="0"/>
        <w:autoSpaceDN/>
        <w:contextualSpacing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1B8DCEE8" w14:textId="77777777" w:rsidR="007759DC" w:rsidRPr="00082A76" w:rsidRDefault="007759DC" w:rsidP="007759DC">
      <w:pPr>
        <w:widowControl/>
        <w:suppressAutoHyphens w:val="0"/>
        <w:autoSpaceDN/>
        <w:contextualSpacing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Sportrendezvény résztvevője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az a természetes személy, aki a sportrendezvény helyszínén annak időtartama alatt, valamint a sportrendezvényt megelőzően vagy követően másfél órával tartózkodik. A néző (szurkoló) résztvevőnek minősül.</w:t>
      </w:r>
    </w:p>
    <w:p w14:paraId="2A475241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0D2B5564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Sportszakember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: az a természetes személy, aki a KSH elnökének a Foglalkozások Egységes Osztályozási Rendszeréről (FEOR) szóló 7/2010. (IV. 23.) KSH közleménye szerinti sport-foglalkozást 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lastRenderedPageBreak/>
        <w:t>folytat, vagy a sportszervezettel, sportszövetséggel munkaviszonyban vagy polgári jogi jogviszonyban sporttevékenységgel kapcsolatban közvetlenül vagy közvetetten feladatot lát el, sportszakembernek minősül továbbá a sportszervezet és a sportszövetség ügyintéző és képviseleti szervének vezetője. Sportszakember különösen a versenyző felkészítését végző vagy azzal kapcsolatba hozható edző, a csapatvezető, a mérkőzésvezető, a versenybíró, a sportegészségügyi szakember (pl. sportorvos, sportpszichológus, gyúró, masszőr). A sportszövetség szabályzatában határozza meg, hogy az adott sportágban kik minősülnek további sportszakembernek.</w:t>
      </w:r>
    </w:p>
    <w:p w14:paraId="5277A5A2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531A1C8E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Versenyrendszer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a sportág nemzetközi szövetsége és a hazai szakszövetség, illetve országos sportági szövetség - kivéve a szabadidősport szövetség - által meghatározott szabályok szerint szervezett fizikai vagy szellemi sportteljesítményt mérő erőpróba. A bajnokság versenyrendszernek minősül. A versenyrendszer hivatásos, amatőr és vegyes (nyílt) rendszerű lehet.</w:t>
      </w:r>
    </w:p>
    <w:p w14:paraId="2BC65239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724D17FD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Versenyszabályzat: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a versenyrendszer keretében folytatott sporttevékenységre és az ahhoz közvetlenül kapcsolódó szakmai tevékenységekre vonatkozó előírások rendszerbe foglalt összessége, amely a versenyrendszerben részt vevő sportolók, sportszervezetek, sportszakemberek általános és sportági kötelezettségein túlmenően tartalmazza a versenyrendszert működtető sportszövetség eljárásának szabályait is.</w:t>
      </w:r>
    </w:p>
    <w:p w14:paraId="129E4976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5D74F3C8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Sportlétesítmény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sportrendezvény megrendezésének helyszínéül szolgáló építmény és terület.</w:t>
      </w:r>
    </w:p>
    <w:p w14:paraId="6AB9172C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59BAD2D1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Sportrendezvény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: sportszervezet vagy sportszövetség által versenyrendszerben, vagy azon kívül, sporttevékenység végzése céljából tartott verseny, mérkőzés. A sportesemény sportrendezvénynek minősül.</w:t>
      </w:r>
    </w:p>
    <w:p w14:paraId="6F3681FA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19253CCC" w14:textId="77777777" w:rsidR="007759DC" w:rsidRPr="00082A76" w:rsidRDefault="007759DC" w:rsidP="007759D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b/>
          <w:bCs/>
          <w:kern w:val="0"/>
          <w:sz w:val="22"/>
          <w:szCs w:val="22"/>
          <w:lang w:eastAsia="hu-HU" w:bidi="ar-SA"/>
        </w:rPr>
        <w:t>Sportrendezvény résztvevője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: az a természetes személy, aki a sportrendezvény helyszínén annak időtartama alatt, valamint a sportrendezvényt megelőzően vagy követően másfél órával tartózkodik. A néző (szurkoló) résztvevőnek minősül. </w:t>
      </w:r>
    </w:p>
    <w:p w14:paraId="62B6D2F2" w14:textId="77777777" w:rsidR="00C05C4B" w:rsidRPr="00082A76" w:rsidRDefault="00C05C4B" w:rsidP="007759DC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</w:p>
    <w:p w14:paraId="765BDABF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  <w:r w:rsidRPr="00082A76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>Főbb jogszabályok, iránymutatások jegyzéke:</w:t>
      </w:r>
    </w:p>
    <w:p w14:paraId="3CE3D569" w14:textId="77777777" w:rsidR="00B45401" w:rsidRPr="00082A76" w:rsidRDefault="00B45401" w:rsidP="007759DC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</w:p>
    <w:p w14:paraId="0B7EF916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082A76">
        <w:rPr>
          <w:rFonts w:eastAsia="Times New Roman" w:cs="Times New Roman"/>
          <w:sz w:val="22"/>
          <w:szCs w:val="22"/>
          <w:lang w:eastAsia="hu-HU"/>
        </w:rPr>
        <w:t>-Magyarország Alaptörvénye (2011. április 25.)</w:t>
      </w:r>
    </w:p>
    <w:p w14:paraId="21266F9A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-Az Európai Parlament és a Tanács (EU) 2016/679 rendelete (2016. április 27.) a természetes személyeknek a személyes adatok kezelése tekintetében történő védelméről és az ilyen adatok szabad áramlásáról, valamint a 95/46/EK irányelv hatályon kívül helyezéséről (általános adatvédelmi rendelet)</w:t>
      </w:r>
    </w:p>
    <w:p w14:paraId="5A9419AC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-Az Információs önrendelkezési jogról és az információszabadságról szóló 2011. évi CXII. törvény</w:t>
      </w:r>
    </w:p>
    <w:p w14:paraId="7EA9B432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-Magyarország helyi önkormányzatairól szóló 2011. évi CLXXXIX. törvény</w:t>
      </w:r>
    </w:p>
    <w:p w14:paraId="4F72E4C3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-A Polgári Törvénykönyvről szóló 2013. évi V. törvény</w:t>
      </w:r>
    </w:p>
    <w:p w14:paraId="05BEFDC3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-A sportról szóló 2014. évi I. törvény</w:t>
      </w:r>
    </w:p>
    <w:p w14:paraId="0B19CB0E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>-</w:t>
      </w:r>
      <w:r w:rsidRPr="00082A76">
        <w:rPr>
          <w:rFonts w:cs="Times New Roman"/>
          <w:sz w:val="22"/>
          <w:szCs w:val="22"/>
        </w:rPr>
        <w:t>A személy- és vagyonvédelmi, valamint a magánnyomozói tevékenység szabályairól szóló 2005. évi CXXXIII. törvény</w:t>
      </w:r>
    </w:p>
    <w:p w14:paraId="778F87D0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cs="Times New Roman"/>
          <w:sz w:val="22"/>
          <w:szCs w:val="22"/>
        </w:rPr>
        <w:t>-A sportrendezvények biztonságáról szóló 54/2004. (III.31.) Kormány rendelet</w:t>
      </w:r>
    </w:p>
    <w:p w14:paraId="585A2B73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cs="Times New Roman"/>
          <w:sz w:val="22"/>
          <w:szCs w:val="22"/>
        </w:rPr>
        <w:t>-A Munka Törvénykönyvéről szóló 2012. évi I. törvény</w:t>
      </w:r>
    </w:p>
    <w:p w14:paraId="1641C268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cs="Times New Roman"/>
          <w:sz w:val="22"/>
          <w:szCs w:val="22"/>
        </w:rPr>
        <w:t>-A köztulajdonban álló gazdasági társaságok takarékosabb működéséről szóló 2009. évi CXXII. törvény</w:t>
      </w:r>
    </w:p>
    <w:p w14:paraId="73CBCB45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cs="Times New Roman"/>
          <w:sz w:val="22"/>
          <w:szCs w:val="22"/>
        </w:rPr>
        <w:t xml:space="preserve">-A nemzeti vagyonról szóló CXCVI. törvény </w:t>
      </w:r>
    </w:p>
    <w:p w14:paraId="6C421ECF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cs="Times New Roman"/>
          <w:sz w:val="22"/>
          <w:szCs w:val="22"/>
        </w:rPr>
        <w:t xml:space="preserve">-Az államháztartásról szóló 2011. évi CXCV. törvény </w:t>
      </w:r>
    </w:p>
    <w:p w14:paraId="3FA4D812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cs="Times New Roman"/>
          <w:sz w:val="22"/>
          <w:szCs w:val="22"/>
        </w:rPr>
        <w:t>-A zenés, táncos rendezvények működésének biztonságosabbá tételéről szóló 23/2011. (III.8.) Kormány rendelet</w:t>
      </w:r>
    </w:p>
    <w:p w14:paraId="32020188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cs="Times New Roman"/>
          <w:sz w:val="22"/>
          <w:szCs w:val="22"/>
        </w:rPr>
        <w:t>-Az általános közigazgatási rendtartásról szóló 2016. évi CL. törvény</w:t>
      </w:r>
    </w:p>
    <w:p w14:paraId="120193D4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cs="Times New Roman"/>
          <w:sz w:val="22"/>
          <w:szCs w:val="22"/>
        </w:rPr>
        <w:t xml:space="preserve">-A polgári perrendtartásról szóló 2016. évi CXXX. törvény </w:t>
      </w:r>
    </w:p>
    <w:p w14:paraId="6190E230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cs="Times New Roman"/>
          <w:sz w:val="22"/>
          <w:szCs w:val="22"/>
        </w:rPr>
        <w:lastRenderedPageBreak/>
        <w:t xml:space="preserve">-A közigazgatási perrendtartásról szóló 2017. évi I. törvény </w:t>
      </w:r>
    </w:p>
    <w:p w14:paraId="0E4231CB" w14:textId="1AC78188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  <w:r w:rsidRPr="00082A76">
        <w:rPr>
          <w:rFonts w:cs="Times New Roman"/>
          <w:sz w:val="22"/>
          <w:szCs w:val="22"/>
        </w:rPr>
        <w:t>-az Európai Adatvédelmi Testület 3/2019. számú iránymutatása a kamerás megfigyelésről (</w:t>
      </w:r>
      <w:hyperlink r:id="rId6" w:history="1">
        <w:r w:rsidRPr="00082A76">
          <w:rPr>
            <w:rStyle w:val="Hiperhivatkozs"/>
            <w:rFonts w:cs="Times New Roman"/>
            <w:sz w:val="22"/>
            <w:szCs w:val="22"/>
          </w:rPr>
          <w:t>https://www.naih.hu/az-europai-adatvedelmi-testuelet-iranymutatasai.html</w:t>
        </w:r>
      </w:hyperlink>
      <w:r w:rsidRPr="00082A76">
        <w:rPr>
          <w:rFonts w:cs="Times New Roman"/>
          <w:sz w:val="22"/>
          <w:szCs w:val="22"/>
        </w:rPr>
        <w:t xml:space="preserve">) </w:t>
      </w:r>
    </w:p>
    <w:p w14:paraId="10A2F126" w14:textId="3D718BD5" w:rsidR="00C05C4B" w:rsidRPr="00082A76" w:rsidRDefault="00C05C4B" w:rsidP="00C05C4B">
      <w:pPr>
        <w:contextualSpacing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082A76">
        <w:rPr>
          <w:rFonts w:cs="Times New Roman"/>
          <w:sz w:val="22"/>
          <w:szCs w:val="22"/>
        </w:rPr>
        <w:t>-</w:t>
      </w:r>
      <w:r w:rsidRPr="00082A76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NAIH 2018. évi beszámoló - a közérdekű feladat ellátásához és közhatalom gyakorlásához szükséges adatkezelésről, 36. oldal, URL: </w:t>
      </w:r>
      <w:hyperlink r:id="rId7" w:history="1">
        <w:r w:rsidR="00082A76" w:rsidRPr="00412825">
          <w:rPr>
            <w:rStyle w:val="Hiperhivatkozs"/>
            <w:rFonts w:eastAsia="Times New Roman" w:cs="Times New Roman"/>
            <w:sz w:val="20"/>
            <w:szCs w:val="20"/>
            <w:lang w:eastAsia="hu-HU"/>
          </w:rPr>
          <w:t>https://www.naih.hu/eves-beszamolok /</w:t>
        </w:r>
      </w:hyperlink>
      <w:r w:rsidR="00082A76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14:paraId="72C0FC4B" w14:textId="5609F042" w:rsidR="00C05C4B" w:rsidRPr="00082A76" w:rsidRDefault="00C05C4B" w:rsidP="007759DC">
      <w:pPr>
        <w:contextualSpacing/>
        <w:mirrorIndents/>
        <w:rPr>
          <w:rFonts w:cs="Times New Roman"/>
          <w:sz w:val="22"/>
          <w:szCs w:val="22"/>
        </w:rPr>
      </w:pPr>
    </w:p>
    <w:p w14:paraId="1C7CF0DF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0031505D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7EE4BFD8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28A0CD4A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3BF04F7F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0D269D25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1D675E66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219D2D3F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25DD9A96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41803805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6EF1F540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535A857F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52C02CAE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317EFD5B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6FCA6658" w14:textId="77777777" w:rsidR="007759DC" w:rsidRPr="00082A76" w:rsidRDefault="007759DC" w:rsidP="007759DC">
      <w:pPr>
        <w:contextualSpacing/>
        <w:mirrorIndents/>
        <w:rPr>
          <w:rFonts w:cs="Times New Roman"/>
          <w:sz w:val="22"/>
          <w:szCs w:val="22"/>
        </w:rPr>
      </w:pPr>
    </w:p>
    <w:p w14:paraId="42C53973" w14:textId="77777777" w:rsidR="007759DC" w:rsidRPr="00082A76" w:rsidRDefault="007759DC" w:rsidP="007759DC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082A76">
        <w:rPr>
          <w:rFonts w:eastAsia="Times New Roman" w:cs="Times New Roman"/>
          <w:sz w:val="22"/>
          <w:szCs w:val="22"/>
          <w:lang w:eastAsia="hu-HU"/>
        </w:rPr>
        <w:t xml:space="preserve"> </w:t>
      </w:r>
    </w:p>
    <w:p w14:paraId="2339D7CE" w14:textId="77777777" w:rsidR="000674F9" w:rsidRPr="00082A76" w:rsidRDefault="00082A76">
      <w:pPr>
        <w:rPr>
          <w:rFonts w:cs="Times New Roman"/>
          <w:sz w:val="22"/>
          <w:szCs w:val="22"/>
        </w:rPr>
      </w:pPr>
    </w:p>
    <w:sectPr w:rsidR="000674F9" w:rsidRPr="00082A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FF2B" w14:textId="77777777" w:rsidR="00656C41" w:rsidRDefault="00656C41" w:rsidP="00207C3C">
      <w:r>
        <w:separator/>
      </w:r>
    </w:p>
  </w:endnote>
  <w:endnote w:type="continuationSeparator" w:id="0">
    <w:p w14:paraId="1CF01154" w14:textId="77777777" w:rsidR="00656C41" w:rsidRDefault="00656C41" w:rsidP="0020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092C" w14:textId="77777777" w:rsidR="00207C3C" w:rsidRDefault="00207C3C" w:rsidP="00207C3C">
    <w:pPr>
      <w:pStyle w:val="llb"/>
      <w:tabs>
        <w:tab w:val="clear" w:pos="4536"/>
        <w:tab w:val="center" w:pos="7290"/>
      </w:tabs>
      <w:rPr>
        <w:b/>
        <w:bCs/>
      </w:rPr>
    </w:pPr>
    <w:r>
      <w:t>___________________________________________________________________________</w:t>
    </w:r>
    <w:r w:rsidRPr="00F6038C">
      <w:t xml:space="preserve"> </w:t>
    </w:r>
    <w:r>
      <w:t>Kamerás megfigyelőrendszer szabályzata</w:t>
    </w:r>
  </w:p>
  <w:p w14:paraId="09A3847A" w14:textId="77777777" w:rsidR="00207C3C" w:rsidRDefault="00207C3C" w:rsidP="00207C3C">
    <w:pPr>
      <w:pStyle w:val="llb"/>
      <w:jc w:val="center"/>
    </w:pPr>
  </w:p>
  <w:p w14:paraId="611DE53B" w14:textId="77777777" w:rsidR="00207C3C" w:rsidRDefault="00207C3C">
    <w:pPr>
      <w:pStyle w:val="llb"/>
    </w:pPr>
  </w:p>
  <w:p w14:paraId="52EFF484" w14:textId="77777777" w:rsidR="00207C3C" w:rsidRDefault="00207C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E57C" w14:textId="77777777" w:rsidR="00656C41" w:rsidRDefault="00656C41" w:rsidP="00207C3C">
      <w:r>
        <w:separator/>
      </w:r>
    </w:p>
  </w:footnote>
  <w:footnote w:type="continuationSeparator" w:id="0">
    <w:p w14:paraId="6989E5CF" w14:textId="77777777" w:rsidR="00656C41" w:rsidRDefault="00656C41" w:rsidP="0020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3B70" w14:textId="77777777" w:rsidR="00207C3C" w:rsidRDefault="00207C3C" w:rsidP="00207C3C">
    <w:pPr>
      <w:pStyle w:val="Standard"/>
      <w:tabs>
        <w:tab w:val="left" w:pos="5490"/>
      </w:tabs>
      <w:jc w:val="center"/>
      <w:rPr>
        <w:b/>
        <w:bCs/>
        <w:smallCaps/>
      </w:rPr>
    </w:pPr>
    <w:bookmarkStart w:id="1" w:name="_Hlk38621597"/>
    <w:bookmarkStart w:id="2" w:name="_Hlk38621598"/>
    <w:bookmarkStart w:id="3" w:name="_Hlk38621606"/>
    <w:bookmarkStart w:id="4" w:name="_Hlk38621607"/>
  </w:p>
  <w:p w14:paraId="2F70DE21" w14:textId="19DAB4F1" w:rsidR="00207C3C" w:rsidRDefault="00082A76" w:rsidP="00207C3C">
    <w:pPr>
      <w:pStyle w:val="Standard"/>
      <w:tabs>
        <w:tab w:val="left" w:pos="5490"/>
      </w:tabs>
      <w:jc w:val="center"/>
      <w:rPr>
        <w:b/>
        <w:bCs/>
        <w:smallCaps/>
      </w:rPr>
    </w:pPr>
    <w:r>
      <w:rPr>
        <w:b/>
        <w:bCs/>
        <w:smallCaps/>
      </w:rPr>
      <w:t>hatvani média és rendezvényszervező nonprofit közhasznú kft.</w:t>
    </w:r>
  </w:p>
  <w:p w14:paraId="1806526F" w14:textId="77777777" w:rsidR="00207C3C" w:rsidRDefault="00207C3C" w:rsidP="00207C3C">
    <w:pPr>
      <w:pStyle w:val="Standard"/>
      <w:tabs>
        <w:tab w:val="left" w:pos="5490"/>
      </w:tabs>
      <w:jc w:val="center"/>
      <w:rPr>
        <w:b/>
        <w:bCs/>
        <w:smallCaps/>
      </w:rPr>
    </w:pPr>
    <w:r>
      <w:rPr>
        <w:b/>
        <w:bCs/>
        <w:smallCaps/>
      </w:rPr>
      <w:t>___________________________________________________________________________</w:t>
    </w:r>
    <w:bookmarkEnd w:id="1"/>
    <w:bookmarkEnd w:id="2"/>
    <w:bookmarkEnd w:id="3"/>
    <w:bookmarkEnd w:id="4"/>
  </w:p>
  <w:p w14:paraId="459539E0" w14:textId="77777777" w:rsidR="00207C3C" w:rsidRDefault="00207C3C" w:rsidP="00207C3C">
    <w:pPr>
      <w:pStyle w:val="lfej"/>
      <w:rPr>
        <w:color w:val="7F7F7F" w:themeColor="text1" w:themeTint="80"/>
      </w:rPr>
    </w:pPr>
  </w:p>
  <w:p w14:paraId="08DA2025" w14:textId="77777777" w:rsidR="00207C3C" w:rsidRDefault="00207C3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C"/>
    <w:rsid w:val="00067E9C"/>
    <w:rsid w:val="00082A76"/>
    <w:rsid w:val="00177826"/>
    <w:rsid w:val="00207C3C"/>
    <w:rsid w:val="00656C41"/>
    <w:rsid w:val="007759DC"/>
    <w:rsid w:val="00924DD7"/>
    <w:rsid w:val="00A74094"/>
    <w:rsid w:val="00B45401"/>
    <w:rsid w:val="00C05C4B"/>
    <w:rsid w:val="00D32222"/>
    <w:rsid w:val="00E86BD6"/>
    <w:rsid w:val="00F5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364C"/>
  <w15:chartTrackingRefBased/>
  <w15:docId w15:val="{B1CDA08F-B144-4073-9EEA-139653F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9D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7759DC"/>
    <w:pPr>
      <w:widowControl/>
      <w:spacing w:before="280" w:after="280"/>
      <w:jc w:val="left"/>
    </w:pPr>
    <w:rPr>
      <w:rFonts w:eastAsia="Times New Roman" w:cs="Times New Roman"/>
      <w:lang w:bidi="ar-SA"/>
    </w:rPr>
  </w:style>
  <w:style w:type="character" w:styleId="Hiperhivatkozs">
    <w:name w:val="Hyperlink"/>
    <w:uiPriority w:val="99"/>
    <w:rsid w:val="007759DC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207C3C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07C3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207C3C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07C3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207C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Feloldatlanmegemlts">
    <w:name w:val="Unresolved Mention"/>
    <w:basedOn w:val="Bekezdsalapbettpusa"/>
    <w:uiPriority w:val="99"/>
    <w:semiHidden/>
    <w:unhideWhenUsed/>
    <w:rsid w:val="00082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aih.hu/eves-beszamolok%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ih.hu/az-europai-adatvedelmi-testuelet-iranymutatasai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1765</Words>
  <Characters>12185</Characters>
  <Application>Microsoft Office Word</Application>
  <DocSecurity>0</DocSecurity>
  <Lines>101</Lines>
  <Paragraphs>27</Paragraphs>
  <ScaleCrop>false</ScaleCrop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 Orosz</dc:creator>
  <cp:keywords/>
  <dc:description/>
  <cp:lastModifiedBy>noémi orosz</cp:lastModifiedBy>
  <cp:revision>3</cp:revision>
  <dcterms:created xsi:type="dcterms:W3CDTF">2022-08-25T09:56:00Z</dcterms:created>
  <dcterms:modified xsi:type="dcterms:W3CDTF">2022-08-25T09:57:00Z</dcterms:modified>
</cp:coreProperties>
</file>